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MINISTARSTVO ZNANOSTI, OBRAZOVANJA I SPORTA</w:t>
      </w:r>
    </w:p>
    <w:p w:rsidR="00000000" w:rsidDel="00000000" w:rsidP="00000000" w:rsidRDefault="00000000" w:rsidRPr="00000000" w14:paraId="00000002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Na temelju članka 86. stavka 3. 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497fd7"/>
            <w:rtl w:val="0"/>
          </w:rPr>
          <w:t xml:space="preserve">Zakona o odgoju i obrazovanju u osnovnoj i srednjoj školi</w:t>
        </w:r>
      </w:hyperlink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 (»Narodne novine«, broj 87/08., 86/09., 92/10., 105/10. – ispravak, 90/11., 16/12., 86/12., 94/13. i 152/14.), ministar znanosti, obrazovanja i sporta donosi</w:t>
      </w:r>
    </w:p>
    <w:p w:rsidR="00000000" w:rsidDel="00000000" w:rsidP="00000000" w:rsidRDefault="00000000" w:rsidRPr="00000000" w14:paraId="00000003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90" w:before="390" w:line="276" w:lineRule="auto"/>
        <w:jc w:val="center"/>
        <w:rPr>
          <w:rFonts w:ascii="Arial" w:cs="Arial" w:eastAsia="Arial" w:hAnsi="Arial"/>
          <w:b w:val="1"/>
          <w:smallCaps w:val="1"/>
          <w:color w:val="41414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414145"/>
          <w:sz w:val="28"/>
          <w:szCs w:val="28"/>
          <w:rtl w:val="0"/>
        </w:rPr>
        <w:t xml:space="preserve">PRAVILNIK O KRITERIJIMA ZA IZRICANJE PEDAGOŠKIH MJERA</w:t>
      </w:r>
    </w:p>
    <w:p w:rsidR="00000000" w:rsidDel="00000000" w:rsidP="00000000" w:rsidRDefault="00000000" w:rsidRPr="00000000" w14:paraId="00000005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Pročišćeni tekst</w:t>
      </w:r>
    </w:p>
    <w:p w:rsidR="00000000" w:rsidDel="00000000" w:rsidP="00000000" w:rsidRDefault="00000000" w:rsidRPr="00000000" w14:paraId="00000006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NN 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497fd7"/>
            <w:rtl w:val="0"/>
          </w:rPr>
          <w:t xml:space="preserve">94/15</w:t>
        </w:r>
      </w:hyperlink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, 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497fd7"/>
            <w:rtl w:val="0"/>
          </w:rPr>
          <w:t xml:space="preserve">03/17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1.</w:t>
      </w:r>
    </w:p>
    <w:p w:rsidR="00000000" w:rsidDel="00000000" w:rsidP="00000000" w:rsidRDefault="00000000" w:rsidRPr="00000000" w14:paraId="0000000A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(1) Ovim pravilnikom propisuju se kriteriji za izricanje pedagoških mjera učenicima osnovnih i srednjih škola.</w:t>
      </w:r>
    </w:p>
    <w:p w:rsidR="00000000" w:rsidDel="00000000" w:rsidP="00000000" w:rsidRDefault="00000000" w:rsidRPr="00000000" w14:paraId="0000000B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000000" w:rsidDel="00000000" w:rsidP="00000000" w:rsidRDefault="00000000" w:rsidRPr="00000000" w14:paraId="0000000C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(3) Izricanje pedagoških mjera temelji se na principima postupnosti, proporcionalnosti, pravednosti i pravodobnosti.</w:t>
      </w:r>
    </w:p>
    <w:p w:rsidR="00000000" w:rsidDel="00000000" w:rsidP="00000000" w:rsidRDefault="00000000" w:rsidRPr="00000000" w14:paraId="0000000D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(4) Pedagoške mjere izriču se zbog povrede dužnosti, neispunjavanja obveza, nasilničkog ponašanja i drugih neprimjerenih ponašanja (u daljnjem tekstu: neprihvatljiva ponašanja).</w:t>
      </w:r>
    </w:p>
    <w:p w:rsidR="00000000" w:rsidDel="00000000" w:rsidP="00000000" w:rsidRDefault="00000000" w:rsidRPr="00000000" w14:paraId="0000000E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(5) Pedagoške mjere za koje se utvrđuju kriteriji u:</w:t>
      </w:r>
    </w:p>
    <w:p w:rsidR="00000000" w:rsidDel="00000000" w:rsidP="00000000" w:rsidRDefault="00000000" w:rsidRPr="00000000" w14:paraId="0000000F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a) osnovnoj školi su: opomena, ukor, strogi ukor i preseljenje u drugu školu,</w:t>
      </w:r>
    </w:p>
    <w:p w:rsidR="00000000" w:rsidDel="00000000" w:rsidP="00000000" w:rsidRDefault="00000000" w:rsidRPr="00000000" w14:paraId="00000010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b) srednjoj školi su: opomena, ukor, opomena pred isključenje i isključenje iz srednje škole.</w:t>
      </w:r>
    </w:p>
    <w:p w:rsidR="00000000" w:rsidDel="00000000" w:rsidP="00000000" w:rsidRDefault="00000000" w:rsidRPr="00000000" w14:paraId="00000011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(6) Pedagoške mjere izriču se prema težini neprihvatljivog ponašanja.</w:t>
      </w:r>
    </w:p>
    <w:p w:rsidR="00000000" w:rsidDel="00000000" w:rsidP="00000000" w:rsidRDefault="00000000" w:rsidRPr="00000000" w14:paraId="00000012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(7) Izrazi koji se koriste u ovome pravilniku, a koji imaju rodno značenje, bez obzira na to jesu li korišteni u muškome ili ženskome rodu obuhvaćaju na jednak način i muški i ženski rod.</w:t>
      </w:r>
    </w:p>
    <w:p w:rsidR="00000000" w:rsidDel="00000000" w:rsidP="00000000" w:rsidRDefault="00000000" w:rsidRPr="00000000" w14:paraId="00000013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2.</w:t>
      </w:r>
    </w:p>
    <w:p w:rsidR="00000000" w:rsidDel="00000000" w:rsidP="00000000" w:rsidRDefault="00000000" w:rsidRPr="00000000" w14:paraId="00000015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:rsidR="00000000" w:rsidDel="00000000" w:rsidP="00000000" w:rsidRDefault="00000000" w:rsidRPr="00000000" w14:paraId="00000016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(2) Na početku svake školske godine razrednik je obvezan na satu razrednika izvijestiti učenike, a na roditeljskome sastanku roditelje/zakonske zastupnike učenika (u daljnjem tekstu: roditelje) o odredbama ovoga pravilnika.</w:t>
      </w:r>
    </w:p>
    <w:p w:rsidR="00000000" w:rsidDel="00000000" w:rsidP="00000000" w:rsidRDefault="00000000" w:rsidRPr="00000000" w14:paraId="00000017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3.</w:t>
      </w:r>
    </w:p>
    <w:p w:rsidR="00000000" w:rsidDel="00000000" w:rsidP="00000000" w:rsidRDefault="00000000" w:rsidRPr="00000000" w14:paraId="0000001B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(1) Neprihvatljiva ponašanja na temelju kojih se izriču pedagoške mjere iz članka 1. stavka 5. ovoga pravilnika podijeljena su ovisno o težini na: lakša, teža, teška i osobito teška.</w:t>
      </w:r>
    </w:p>
    <w:p w:rsidR="00000000" w:rsidDel="00000000" w:rsidP="00000000" w:rsidRDefault="00000000" w:rsidRPr="00000000" w14:paraId="0000001C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35" w:line="276" w:lineRule="auto"/>
        <w:jc w:val="both"/>
        <w:rPr>
          <w:rFonts w:ascii="Arial" w:cs="Arial" w:eastAsia="Arial" w:hAnsi="Arial"/>
          <w:b w:val="1"/>
          <w:color w:val="414145"/>
        </w:rPr>
      </w:pPr>
      <w:r w:rsidDel="00000000" w:rsidR="00000000" w:rsidRPr="00000000">
        <w:rPr>
          <w:rFonts w:ascii="Arial" w:cs="Arial" w:eastAsia="Arial" w:hAnsi="Arial"/>
          <w:b w:val="1"/>
          <w:color w:val="414145"/>
          <w:rtl w:val="0"/>
        </w:rPr>
        <w:t xml:space="preserve">(2) Lakšim neprihvatljivim ponašanjima iz stavka 1. ovoga članka smatra se:</w:t>
      </w:r>
    </w:p>
    <w:p w:rsidR="00000000" w:rsidDel="00000000" w:rsidP="00000000" w:rsidRDefault="00000000" w:rsidRPr="00000000" w14:paraId="0000001E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a) ometanje odgojno-obrazovnoga rada (npr. izazivanje nereda, stvaranje buke, pričanje nakon usmene opomene učitelja/nastavnika ili dovikivanje tijekom odgojno-obrazovnoga rada);</w:t>
      </w:r>
    </w:p>
    <w:p w:rsidR="00000000" w:rsidDel="00000000" w:rsidP="00000000" w:rsidRDefault="00000000" w:rsidRPr="00000000" w14:paraId="0000001F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b) onečišćenje školskoga prostora i okoliša (npr. bacanje smeća izvan koševa za otpatke);</w:t>
      </w:r>
    </w:p>
    <w:p w:rsidR="00000000" w:rsidDel="00000000" w:rsidP="00000000" w:rsidRDefault="00000000" w:rsidRPr="00000000" w14:paraId="00000020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c) oštećivanje imovine u prostorima škole ili na drugome mjestu gdje se održava odgojno-obrazovni rad nanošenjem manje štete (npr. šaranje, urezivanje u namještaj);</w:t>
      </w:r>
    </w:p>
    <w:p w:rsidR="00000000" w:rsidDel="00000000" w:rsidP="00000000" w:rsidRDefault="00000000" w:rsidRPr="00000000" w14:paraId="00000021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d) nedopušteno korištenje informacijsko-komunikacijskih uređaja tijekom odgojno-obrazovnoga rada;</w:t>
      </w:r>
    </w:p>
    <w:p w:rsidR="00000000" w:rsidDel="00000000" w:rsidP="00000000" w:rsidRDefault="00000000" w:rsidRPr="00000000" w14:paraId="00000022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e) pomaganje ili poticanje ulaska neovlaštenih osoba u školski prostor;</w:t>
      </w:r>
    </w:p>
    <w:p w:rsidR="00000000" w:rsidDel="00000000" w:rsidP="00000000" w:rsidRDefault="00000000" w:rsidRPr="00000000" w14:paraId="00000023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f) poticanje drugih učenika na neprihvatljiva ponašanja;</w:t>
      </w:r>
    </w:p>
    <w:p w:rsidR="00000000" w:rsidDel="00000000" w:rsidP="00000000" w:rsidRDefault="00000000" w:rsidRPr="00000000" w14:paraId="00000024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g) uznemiravanje učenika ili radnika škole odnosno druge aktivnosti koje izazivaju nelagodu u drugih osoba, nakon što je učenik na to upozoren;</w:t>
      </w:r>
    </w:p>
    <w:p w:rsidR="00000000" w:rsidDel="00000000" w:rsidP="00000000" w:rsidRDefault="00000000" w:rsidRPr="00000000" w14:paraId="00000025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h) korištenje nedopuštenih izvora podataka u svrhu prepisivanja.</w:t>
      </w:r>
    </w:p>
    <w:p w:rsidR="00000000" w:rsidDel="00000000" w:rsidP="00000000" w:rsidRDefault="00000000" w:rsidRPr="00000000" w14:paraId="00000026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35" w:line="276" w:lineRule="auto"/>
        <w:jc w:val="both"/>
        <w:rPr>
          <w:rFonts w:ascii="Arial" w:cs="Arial" w:eastAsia="Arial" w:hAnsi="Arial"/>
          <w:b w:val="1"/>
          <w:color w:val="414145"/>
        </w:rPr>
      </w:pPr>
      <w:r w:rsidDel="00000000" w:rsidR="00000000" w:rsidRPr="00000000">
        <w:rPr>
          <w:rFonts w:ascii="Arial" w:cs="Arial" w:eastAsia="Arial" w:hAnsi="Arial"/>
          <w:b w:val="1"/>
          <w:color w:val="414145"/>
          <w:rtl w:val="0"/>
        </w:rPr>
        <w:t xml:space="preserve">(3) Težim neprihvatljivim ponašanjima iz stavka 1. ovoga članka smatra se:</w:t>
      </w:r>
    </w:p>
    <w:p w:rsidR="00000000" w:rsidDel="00000000" w:rsidP="00000000" w:rsidRDefault="00000000" w:rsidRPr="00000000" w14:paraId="00000028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a) ometanje odgojno-obrazovnoga rada na način da je onemogućeno njegovo daljnje izvođenje;</w:t>
      </w:r>
    </w:p>
    <w:p w:rsidR="00000000" w:rsidDel="00000000" w:rsidP="00000000" w:rsidRDefault="00000000" w:rsidRPr="00000000" w14:paraId="00000029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b) povreda dostojanstva druge osobe omalovažavanjem, vrijeđanjem ili širenjem neistina i glasina o drugome učeniku ili radniku škole;</w:t>
      </w:r>
    </w:p>
    <w:p w:rsidR="00000000" w:rsidDel="00000000" w:rsidP="00000000" w:rsidRDefault="00000000" w:rsidRPr="00000000" w14:paraId="0000002A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c) unošenje ili konzumiranje psihoaktivnih sredstava u prostor škole ili na drugo mjesto gdje se održava odgojno-obrazovni rad;</w:t>
      </w:r>
    </w:p>
    <w:p w:rsidR="00000000" w:rsidDel="00000000" w:rsidP="00000000" w:rsidRDefault="00000000" w:rsidRPr="00000000" w14:paraId="0000002B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d) dovođenje ili pomaganje prilikom dolaska neovlaštenim osobama koje su nanijele štetu osobama ili imovini u prostoru škole ili na drugome mjestu gdje se održava odgojno-obrazovni rad;</w:t>
      </w:r>
    </w:p>
    <w:p w:rsidR="00000000" w:rsidDel="00000000" w:rsidP="00000000" w:rsidRDefault="00000000" w:rsidRPr="00000000" w14:paraId="0000002C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e) namjerno uništavanje imovine nanošenjem veće štete u prostoru škole ili na drugome mjestu gdje se održava odgojno-obrazovni rad;</w:t>
      </w:r>
    </w:p>
    <w:p w:rsidR="00000000" w:rsidDel="00000000" w:rsidP="00000000" w:rsidRDefault="00000000" w:rsidRPr="00000000" w14:paraId="0000002D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f) prikrivanje nasilnih oblika ponašanja;</w:t>
      </w:r>
    </w:p>
    <w:p w:rsidR="00000000" w:rsidDel="00000000" w:rsidP="00000000" w:rsidRDefault="00000000" w:rsidRPr="00000000" w14:paraId="0000002E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g) udaranje, sudjelovanje u tučnjavi i druga ponašanja koja mogu ugroziti sigurnost samog učenika ili druge osobe, ali bez težih posljedica;</w:t>
      </w:r>
    </w:p>
    <w:p w:rsidR="00000000" w:rsidDel="00000000" w:rsidP="00000000" w:rsidRDefault="00000000" w:rsidRPr="00000000" w14:paraId="0000002F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h) korištenje ili zlouporaba podataka drugog učenika iz pedagoške dokumentacije;</w:t>
      </w:r>
    </w:p>
    <w:p w:rsidR="00000000" w:rsidDel="00000000" w:rsidP="00000000" w:rsidRDefault="00000000" w:rsidRPr="00000000" w14:paraId="00000030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i) klađenje ili kockanje u prostorima škole ili na drugome mjestu gdje se održava odgojno-obrazovni rad;</w:t>
      </w:r>
    </w:p>
    <w:p w:rsidR="00000000" w:rsidDel="00000000" w:rsidP="00000000" w:rsidRDefault="00000000" w:rsidRPr="00000000" w14:paraId="00000031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j) prisvajanje tuđe stvari.</w:t>
      </w:r>
    </w:p>
    <w:p w:rsidR="00000000" w:rsidDel="00000000" w:rsidP="00000000" w:rsidRDefault="00000000" w:rsidRPr="00000000" w14:paraId="00000032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35" w:line="276" w:lineRule="auto"/>
        <w:jc w:val="both"/>
        <w:rPr>
          <w:rFonts w:ascii="Arial" w:cs="Arial" w:eastAsia="Arial" w:hAnsi="Arial"/>
          <w:b w:val="1"/>
          <w:color w:val="414145"/>
        </w:rPr>
      </w:pPr>
      <w:r w:rsidDel="00000000" w:rsidR="00000000" w:rsidRPr="00000000">
        <w:rPr>
          <w:rFonts w:ascii="Arial" w:cs="Arial" w:eastAsia="Arial" w:hAnsi="Arial"/>
          <w:b w:val="1"/>
          <w:color w:val="414145"/>
          <w:rtl w:val="0"/>
        </w:rPr>
        <w:t xml:space="preserve">(4) Teškim neprihvatljivim ponašanjima iz stavka 1. ovoga članka smatra se:</w:t>
      </w:r>
    </w:p>
    <w:p w:rsidR="00000000" w:rsidDel="00000000" w:rsidP="00000000" w:rsidRDefault="00000000" w:rsidRPr="00000000" w14:paraId="00000035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000000" w:rsidDel="00000000" w:rsidP="00000000" w:rsidRDefault="00000000" w:rsidRPr="00000000" w14:paraId="00000036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b) nasilno ponašanje koje nije rezultiralo težim posljedicama;</w:t>
      </w:r>
    </w:p>
    <w:p w:rsidR="00000000" w:rsidDel="00000000" w:rsidP="00000000" w:rsidRDefault="00000000" w:rsidRPr="00000000" w14:paraId="00000037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c) krivotvorenje ispričnica ili ispitnih materijala;</w:t>
      </w:r>
    </w:p>
    <w:p w:rsidR="00000000" w:rsidDel="00000000" w:rsidP="00000000" w:rsidRDefault="00000000" w:rsidRPr="00000000" w14:paraId="00000038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d) neovlašteno korištenje tuđih podataka za pristup elektroničkim bazama podataka škole bez njihove izmjene;</w:t>
      </w:r>
    </w:p>
    <w:p w:rsidR="00000000" w:rsidDel="00000000" w:rsidP="00000000" w:rsidRDefault="00000000" w:rsidRPr="00000000" w14:paraId="00000039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e) krađa tuđe stvari;</w:t>
      </w:r>
    </w:p>
    <w:p w:rsidR="00000000" w:rsidDel="00000000" w:rsidP="00000000" w:rsidRDefault="00000000" w:rsidRPr="00000000" w14:paraId="0000003A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f) poticanje grupnoga govora mržnje;</w:t>
      </w:r>
    </w:p>
    <w:p w:rsidR="00000000" w:rsidDel="00000000" w:rsidP="00000000" w:rsidRDefault="00000000" w:rsidRPr="00000000" w14:paraId="0000003B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g) uništavanje službene dokumentacije škole;</w:t>
      </w:r>
    </w:p>
    <w:p w:rsidR="00000000" w:rsidDel="00000000" w:rsidP="00000000" w:rsidRDefault="00000000" w:rsidRPr="00000000" w14:paraId="0000003C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h) prisila drugog učenika na neprihvatljivo ponašanje ili iznuda drugog učenika (npr. iznuđivanje novca);</w:t>
      </w:r>
    </w:p>
    <w:p w:rsidR="00000000" w:rsidDel="00000000" w:rsidP="00000000" w:rsidRDefault="00000000" w:rsidRPr="00000000" w14:paraId="0000003D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i) unošenje oružja i opasnih predmeta u prostor škole ili drugdje gdje se održava odgojno-obrazovni rad.</w:t>
      </w:r>
    </w:p>
    <w:p w:rsidR="00000000" w:rsidDel="00000000" w:rsidP="00000000" w:rsidRDefault="00000000" w:rsidRPr="00000000" w14:paraId="0000003E">
      <w:pPr>
        <w:spacing w:after="135" w:line="276" w:lineRule="auto"/>
        <w:jc w:val="both"/>
        <w:rPr>
          <w:rFonts w:ascii="Arial" w:cs="Arial" w:eastAsia="Arial" w:hAnsi="Arial"/>
          <w:b w:val="1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35" w:line="276" w:lineRule="auto"/>
        <w:jc w:val="both"/>
        <w:rPr>
          <w:rFonts w:ascii="Arial" w:cs="Arial" w:eastAsia="Arial" w:hAnsi="Arial"/>
          <w:b w:val="1"/>
          <w:color w:val="414145"/>
        </w:rPr>
      </w:pPr>
      <w:r w:rsidDel="00000000" w:rsidR="00000000" w:rsidRPr="00000000">
        <w:rPr>
          <w:rFonts w:ascii="Arial" w:cs="Arial" w:eastAsia="Arial" w:hAnsi="Arial"/>
          <w:b w:val="1"/>
          <w:color w:val="414145"/>
          <w:rtl w:val="0"/>
        </w:rPr>
        <w:t xml:space="preserve">(5) Osobito teškim neprihvatljivim ponašanjima iz stavka 1. ovoga članka smatra se:</w:t>
      </w:r>
    </w:p>
    <w:p w:rsidR="00000000" w:rsidDel="00000000" w:rsidP="00000000" w:rsidRDefault="00000000" w:rsidRPr="00000000" w14:paraId="00000040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a) krivotvorenje pisane ili elektroničke službene dokumentacije škole;</w:t>
      </w:r>
    </w:p>
    <w:p w:rsidR="00000000" w:rsidDel="00000000" w:rsidP="00000000" w:rsidRDefault="00000000" w:rsidRPr="00000000" w14:paraId="00000041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b) objavljivanje materijala elektroničkim ili drugim putem, a koji za posljedicu imaju povredu ugleda, časti i dostojanstva druge osobe;</w:t>
      </w:r>
    </w:p>
    <w:p w:rsidR="00000000" w:rsidDel="00000000" w:rsidP="00000000" w:rsidRDefault="00000000" w:rsidRPr="00000000" w14:paraId="00000042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c) teška krađa odnosno krađa počinjena na opasan ili drzak način, obijanjem, provaljivanjem ili svladavanjem prepreka da se dođe do stvari;</w:t>
      </w:r>
    </w:p>
    <w:p w:rsidR="00000000" w:rsidDel="00000000" w:rsidP="00000000" w:rsidRDefault="00000000" w:rsidRPr="00000000" w14:paraId="00000043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d) ugrožavanje sigurnosti učenika ili radnika škole korištenjem oružja ili opasnih predmeta u prostoru škole ili na drugome mjestu gdje se održava odgojno-obrazovni rad;</w:t>
      </w:r>
    </w:p>
    <w:p w:rsidR="00000000" w:rsidDel="00000000" w:rsidP="00000000" w:rsidRDefault="00000000" w:rsidRPr="00000000" w14:paraId="00000044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e) nasilno ponašanje koje je rezultiralo teškim emocionalnim ili fizičkim posljedicama za drugu osobu.</w:t>
      </w:r>
    </w:p>
    <w:p w:rsidR="00000000" w:rsidDel="00000000" w:rsidP="00000000" w:rsidRDefault="00000000" w:rsidRPr="00000000" w14:paraId="00000045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4. (NN 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497fd7"/>
            <w:rtl w:val="0"/>
          </w:rPr>
          <w:t xml:space="preserve">03/17</w:t>
        </w:r>
      </w:hyperlink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)</w:t>
      </w:r>
    </w:p>
    <w:p w:rsidR="00000000" w:rsidDel="00000000" w:rsidP="00000000" w:rsidRDefault="00000000" w:rsidRPr="00000000" w14:paraId="00000047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(1) Pedagoška mjera izriče se i zbog neopravdanih izostanaka s nastave.</w:t>
      </w:r>
    </w:p>
    <w:p w:rsidR="00000000" w:rsidDel="00000000" w:rsidP="00000000" w:rsidRDefault="00000000" w:rsidRPr="00000000" w14:paraId="00000048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(2) Izostanak s nastave, u slučaju pravodobnog zahtjeva roditelja, može odobriti:</w:t>
      </w:r>
    </w:p>
    <w:p w:rsidR="00000000" w:rsidDel="00000000" w:rsidP="00000000" w:rsidRDefault="00000000" w:rsidRPr="00000000" w14:paraId="00000049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– učitelj/nastavnik za izostanak tijekom nastavnoga dana,</w:t>
      </w:r>
    </w:p>
    <w:p w:rsidR="00000000" w:rsidDel="00000000" w:rsidP="00000000" w:rsidRDefault="00000000" w:rsidRPr="00000000" w14:paraId="0000004A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– razrednik za izostanak do tri (pojedinačna ili uzastopna) radna dana,</w:t>
      </w:r>
    </w:p>
    <w:p w:rsidR="00000000" w:rsidDel="00000000" w:rsidP="00000000" w:rsidRDefault="00000000" w:rsidRPr="00000000" w14:paraId="0000004B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– ravnatelj za izostanak do sedam (uzastopnih) radnih dana,</w:t>
      </w:r>
    </w:p>
    <w:p w:rsidR="00000000" w:rsidDel="00000000" w:rsidP="00000000" w:rsidRDefault="00000000" w:rsidRPr="00000000" w14:paraId="0000004C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– učiteljsko/nastavničko vijeće za izostanak do petnaest (uzastopnih) radnih dana.</w:t>
      </w:r>
    </w:p>
    <w:p w:rsidR="00000000" w:rsidDel="00000000" w:rsidP="00000000" w:rsidRDefault="00000000" w:rsidRPr="00000000" w14:paraId="0000004D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(3) Roditelj može, više puta godišnje, opravdati izostanak svoga djeteta u trajanju do tri radna dana, a za koje nije pravodobno podnesen zahtjev za odobrenjem sukladno stavku 2. ovoga članka.</w:t>
      </w:r>
    </w:p>
    <w:p w:rsidR="00000000" w:rsidDel="00000000" w:rsidP="00000000" w:rsidRDefault="00000000" w:rsidRPr="00000000" w14:paraId="0000004E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(4) Opravdanost izostanka s nastave zbog zdravstvenih razloga u trajanju duljem od tri radna dana uzastopno dokazuje se liječničkom potvrdom.</w:t>
      </w:r>
    </w:p>
    <w:p w:rsidR="00000000" w:rsidDel="00000000" w:rsidP="00000000" w:rsidRDefault="00000000" w:rsidRPr="00000000" w14:paraId="0000004F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000000" w:rsidDel="00000000" w:rsidP="00000000" w:rsidRDefault="00000000" w:rsidRPr="00000000" w14:paraId="00000050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(6) Neopravdanim izostankom smatra se izostanak koji nije odobren ili opravdan sukladno odredbama stavka 2., 3., 4. i 5. ovoga članka.</w:t>
      </w:r>
    </w:p>
    <w:p w:rsidR="00000000" w:rsidDel="00000000" w:rsidP="00000000" w:rsidRDefault="00000000" w:rsidRPr="00000000" w14:paraId="00000051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(7) Načini opravdavanja izostanaka učenika i primjereni rok javljanja o razlogu izostanka uređuju se statutom škole.</w:t>
      </w:r>
    </w:p>
    <w:p w:rsidR="00000000" w:rsidDel="00000000" w:rsidP="00000000" w:rsidRDefault="00000000" w:rsidRPr="00000000" w14:paraId="00000052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5.</w:t>
      </w:r>
    </w:p>
    <w:p w:rsidR="00000000" w:rsidDel="00000000" w:rsidP="00000000" w:rsidRDefault="00000000" w:rsidRPr="00000000" w14:paraId="00000054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000000" w:rsidDel="00000000" w:rsidP="00000000" w:rsidRDefault="00000000" w:rsidRPr="00000000" w14:paraId="00000055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000000" w:rsidDel="00000000" w:rsidP="00000000" w:rsidRDefault="00000000" w:rsidRPr="00000000" w14:paraId="00000056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(3) Mjera se može izreći i bez izjašnjavanja učenika ako se učenik bez opravdanoga razloga ne odazove pozivu razrednika ili druge ovlaštene osobe.</w:t>
      </w:r>
    </w:p>
    <w:p w:rsidR="00000000" w:rsidDel="00000000" w:rsidP="00000000" w:rsidRDefault="00000000" w:rsidRPr="00000000" w14:paraId="00000057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(4) Mjera se može izreći i bez informiranja roditelja, što je propisano stavkom 2. ovoga članka, ako se roditelj ne odazove ni pisanom pozivu na razgovor.</w:t>
      </w:r>
    </w:p>
    <w:p w:rsidR="00000000" w:rsidDel="00000000" w:rsidP="00000000" w:rsidRDefault="00000000" w:rsidRPr="00000000" w14:paraId="00000058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(5) Pedagoška mjera opomene i ukora mora se izreći najkasnije u roku od 15 dana od dana saznanja za neprihvatljivo ponašanje učenika zbog kojeg se izriče.</w:t>
      </w:r>
    </w:p>
    <w:p w:rsidR="00000000" w:rsidDel="00000000" w:rsidP="00000000" w:rsidRDefault="00000000" w:rsidRPr="00000000" w14:paraId="00000059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000000" w:rsidDel="00000000" w:rsidP="00000000" w:rsidRDefault="00000000" w:rsidRPr="00000000" w14:paraId="0000005A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000000" w:rsidDel="00000000" w:rsidP="00000000" w:rsidRDefault="00000000" w:rsidRPr="00000000" w14:paraId="0000005B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000000" w:rsidDel="00000000" w:rsidP="00000000" w:rsidRDefault="00000000" w:rsidRPr="00000000" w14:paraId="0000005C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6.</w:t>
      </w:r>
    </w:p>
    <w:p w:rsidR="00000000" w:rsidDel="00000000" w:rsidP="00000000" w:rsidRDefault="00000000" w:rsidRPr="00000000" w14:paraId="00000061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(1) Svako izricanje pedagoške mjere temelji se na bilješkama iz pedagoške dokumentacije i/ili službenim bilješkama stručnih suradnika i/ili ravnatelja, a ako je potrebno i na mišljenjima drugih nadležnih institucija.</w:t>
      </w:r>
    </w:p>
    <w:p w:rsidR="00000000" w:rsidDel="00000000" w:rsidP="00000000" w:rsidRDefault="00000000" w:rsidRPr="00000000" w14:paraId="00000062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000000" w:rsidDel="00000000" w:rsidP="00000000" w:rsidRDefault="00000000" w:rsidRPr="00000000" w14:paraId="00000063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000000" w:rsidDel="00000000" w:rsidP="00000000" w:rsidRDefault="00000000" w:rsidRPr="00000000" w14:paraId="00000064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7.</w:t>
      </w:r>
    </w:p>
    <w:p w:rsidR="00000000" w:rsidDel="00000000" w:rsidP="00000000" w:rsidRDefault="00000000" w:rsidRPr="00000000" w14:paraId="00000066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000000" w:rsidDel="00000000" w:rsidP="00000000" w:rsidRDefault="00000000" w:rsidRPr="00000000" w14:paraId="00000067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:rsidR="00000000" w:rsidDel="00000000" w:rsidP="00000000" w:rsidRDefault="00000000" w:rsidRPr="00000000" w14:paraId="00000068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000000" w:rsidDel="00000000" w:rsidP="00000000" w:rsidRDefault="00000000" w:rsidRPr="00000000" w14:paraId="00000069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000000" w:rsidDel="00000000" w:rsidP="00000000" w:rsidRDefault="00000000" w:rsidRPr="00000000" w14:paraId="0000006A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8.</w:t>
      </w:r>
    </w:p>
    <w:p w:rsidR="00000000" w:rsidDel="00000000" w:rsidP="00000000" w:rsidRDefault="00000000" w:rsidRPr="00000000" w14:paraId="0000006C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000000" w:rsidDel="00000000" w:rsidP="00000000" w:rsidRDefault="00000000" w:rsidRPr="00000000" w14:paraId="0000006D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000000" w:rsidDel="00000000" w:rsidP="00000000" w:rsidRDefault="00000000" w:rsidRPr="00000000" w14:paraId="0000006E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000000" w:rsidDel="00000000" w:rsidP="00000000" w:rsidRDefault="00000000" w:rsidRPr="00000000" w14:paraId="0000006F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000000" w:rsidDel="00000000" w:rsidP="00000000" w:rsidRDefault="00000000" w:rsidRPr="00000000" w14:paraId="00000070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9.</w:t>
      </w:r>
    </w:p>
    <w:p w:rsidR="00000000" w:rsidDel="00000000" w:rsidP="00000000" w:rsidRDefault="00000000" w:rsidRPr="00000000" w14:paraId="00000072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Škole su dužne uskladiti odredbe statuta s odredbama ovoga pravilnika u roku od 60 dana od dana njegova stupanja na snagu.</w:t>
      </w:r>
    </w:p>
    <w:p w:rsidR="00000000" w:rsidDel="00000000" w:rsidP="00000000" w:rsidRDefault="00000000" w:rsidRPr="00000000" w14:paraId="00000073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10.</w:t>
      </w:r>
    </w:p>
    <w:p w:rsidR="00000000" w:rsidDel="00000000" w:rsidP="00000000" w:rsidRDefault="00000000" w:rsidRPr="00000000" w14:paraId="00000075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Ovaj pravilnik stupa na snagu osmoga dana od dana objave u »Narodnim novinama«.</w:t>
      </w:r>
    </w:p>
    <w:p w:rsidR="00000000" w:rsidDel="00000000" w:rsidP="00000000" w:rsidRDefault="00000000" w:rsidRPr="00000000" w14:paraId="00000076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Klasa: 602-02/15-06/00087</w:t>
      </w:r>
    </w:p>
    <w:p w:rsidR="00000000" w:rsidDel="00000000" w:rsidP="00000000" w:rsidRDefault="00000000" w:rsidRPr="00000000" w14:paraId="00000077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Urbroj: 533-25-15-0008</w:t>
      </w:r>
    </w:p>
    <w:p w:rsidR="00000000" w:rsidDel="00000000" w:rsidP="00000000" w:rsidRDefault="00000000" w:rsidRPr="00000000" w14:paraId="00000078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Zagreb, 31. kolovoza 2015.</w:t>
      </w:r>
    </w:p>
    <w:p w:rsidR="00000000" w:rsidDel="00000000" w:rsidP="00000000" w:rsidRDefault="00000000" w:rsidRPr="00000000" w14:paraId="00000079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35" w:line="276" w:lineRule="auto"/>
        <w:jc w:val="both"/>
        <w:rPr>
          <w:rFonts w:ascii="Arial" w:cs="Arial" w:eastAsia="Arial" w:hAnsi="Arial"/>
          <w:b w:val="1"/>
          <w:color w:val="414145"/>
        </w:rPr>
      </w:pPr>
      <w:r w:rsidDel="00000000" w:rsidR="00000000" w:rsidRPr="00000000">
        <w:rPr>
          <w:rFonts w:ascii="Arial" w:cs="Arial" w:eastAsia="Arial" w:hAnsi="Arial"/>
          <w:b w:val="1"/>
          <w:color w:val="414145"/>
          <w:rtl w:val="0"/>
        </w:rPr>
        <w:t xml:space="preserve">Prijelazne i završne odredbe iz NN 03/17</w:t>
      </w:r>
    </w:p>
    <w:p w:rsidR="00000000" w:rsidDel="00000000" w:rsidP="00000000" w:rsidRDefault="00000000" w:rsidRPr="00000000" w14:paraId="0000007B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35" w:line="276" w:lineRule="auto"/>
        <w:jc w:val="center"/>
        <w:rPr>
          <w:rFonts w:ascii="Arial" w:cs="Arial" w:eastAsia="Arial" w:hAnsi="Arial"/>
          <w:color w:val="414145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Članak 2.</w:t>
      </w:r>
    </w:p>
    <w:p w:rsidR="00000000" w:rsidDel="00000000" w:rsidP="00000000" w:rsidRDefault="00000000" w:rsidRPr="00000000" w14:paraId="0000007D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Ovaj pravilnik stupa na snagu osmoga dana od dana objave u »Narodnim novinama«.</w:t>
      </w:r>
    </w:p>
    <w:p w:rsidR="00000000" w:rsidDel="00000000" w:rsidP="00000000" w:rsidRDefault="00000000" w:rsidRPr="00000000" w14:paraId="0000007E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Klasa: 602-01/16-01/00635</w:t>
      </w:r>
    </w:p>
    <w:p w:rsidR="00000000" w:rsidDel="00000000" w:rsidP="00000000" w:rsidRDefault="00000000" w:rsidRPr="00000000" w14:paraId="0000007F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Urbroj: 533-28-16-0001</w:t>
      </w:r>
    </w:p>
    <w:p w:rsidR="00000000" w:rsidDel="00000000" w:rsidP="00000000" w:rsidRDefault="00000000" w:rsidRPr="00000000" w14:paraId="00000080">
      <w:pPr>
        <w:spacing w:after="135" w:line="276" w:lineRule="auto"/>
        <w:jc w:val="both"/>
        <w:rPr>
          <w:rFonts w:ascii="Arial" w:cs="Arial" w:eastAsia="Arial" w:hAnsi="Arial"/>
          <w:color w:val="414145"/>
        </w:rPr>
      </w:pPr>
      <w:r w:rsidDel="00000000" w:rsidR="00000000" w:rsidRPr="00000000">
        <w:rPr>
          <w:rFonts w:ascii="Arial" w:cs="Arial" w:eastAsia="Arial" w:hAnsi="Arial"/>
          <w:color w:val="414145"/>
          <w:rtl w:val="0"/>
        </w:rPr>
        <w:t xml:space="preserve">Zagreb, 28. prosinca 2016.</w:t>
      </w:r>
    </w:p>
    <w:p w:rsidR="00000000" w:rsidDel="00000000" w:rsidP="00000000" w:rsidRDefault="00000000" w:rsidRPr="00000000" w14:paraId="0000008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993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akon.hr/cms.htm?id=18179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zakon.hr/z/317/Zakon-o-odgoju-i-obrazovanju-u-osnovnoj-i-srednjoj-%C5%A1koli" TargetMode="External"/><Relationship Id="rId7" Type="http://schemas.openxmlformats.org/officeDocument/2006/relationships/hyperlink" Target="https://www.zakon.hr/cms.htm?id=13405" TargetMode="External"/><Relationship Id="rId8" Type="http://schemas.openxmlformats.org/officeDocument/2006/relationships/hyperlink" Target="https://www.zakon.hr/cms.htm?id=18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